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Pr="00357E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A80A9B">
        <w:rPr>
          <w:rFonts w:ascii="Times New Roman" w:hAnsi="Times New Roman"/>
          <w:sz w:val="24"/>
          <w:szCs w:val="24"/>
        </w:rPr>
        <w:t>1</w:t>
      </w:r>
      <w:r w:rsidR="00A66760">
        <w:rPr>
          <w:rFonts w:ascii="Times New Roman" w:hAnsi="Times New Roman"/>
          <w:sz w:val="24"/>
          <w:szCs w:val="24"/>
        </w:rPr>
        <w:t>3</w:t>
      </w:r>
    </w:p>
    <w:p w:rsidR="00146BE9" w:rsidRPr="00921D8D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EBF" w:rsidRPr="00304EBF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________________________ </w:t>
      </w:r>
    </w:p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от</w:t>
      </w:r>
      <w:r w:rsidR="00304EBF">
        <w:rPr>
          <w:rFonts w:ascii="Times New Roman" w:hAnsi="Times New Roman"/>
          <w:sz w:val="24"/>
          <w:szCs w:val="24"/>
        </w:rPr>
        <w:t xml:space="preserve"> ____ _______________ 201</w:t>
      </w:r>
      <w:r w:rsidR="00A80A9B">
        <w:rPr>
          <w:rFonts w:ascii="Times New Roman" w:hAnsi="Times New Roman"/>
          <w:sz w:val="24"/>
          <w:szCs w:val="24"/>
        </w:rPr>
        <w:t>8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 xml:space="preserve">банковским гарантиям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 xml:space="preserve">Объединенная дирекция по </w:t>
      </w:r>
      <w:r w:rsidRPr="004D2A4D">
        <w:rPr>
          <w:rFonts w:ascii="Times New Roman" w:eastAsiaTheme="minorHAnsi" w:hAnsi="Times New Roman" w:cs="Calibri"/>
          <w:b/>
          <w:bCs/>
          <w:sz w:val="24"/>
          <w:szCs w:val="24"/>
        </w:rPr>
        <w:t>проектированию и строительству Центра разработки и коммерциализации новых технологий (инновационного центра «Сколково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именуемое в дальнейшем «</w:t>
      </w:r>
      <w:r w:rsidRPr="004D2A4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Заказчик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», в лице [должность, Ф.И.О.], действующего на основании [документ-основание], с одной стороны, и,</w:t>
      </w:r>
    </w:p>
    <w:p w:rsidR="00D35A02" w:rsidRPr="004D2A4D" w:rsidRDefault="00D35A02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[Полное наименование </w:t>
      </w:r>
      <w:r w:rsidR="004D2A4D" w:rsidRPr="00594862">
        <w:rPr>
          <w:rFonts w:ascii="Times New Roman" w:eastAsiaTheme="minorHAnsi" w:hAnsi="Times New Roman" w:cs="Calibri"/>
          <w:b/>
          <w:sz w:val="24"/>
          <w:szCs w:val="24"/>
        </w:rPr>
        <w:t>П</w:t>
      </w: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одрядчика] 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(место нахождения: [адрес], ОГРН [ОГРН]),  именуемое в дальнейшем </w:t>
      </w:r>
      <w:r w:rsidRPr="004D2A4D">
        <w:rPr>
          <w:rFonts w:ascii="Times New Roman" w:eastAsiaTheme="minorHAnsi" w:hAnsi="Times New Roman" w:cs="Calibri"/>
          <w:b/>
          <w:sz w:val="24"/>
          <w:szCs w:val="24"/>
        </w:rPr>
        <w:t>«</w:t>
      </w:r>
      <w:r w:rsidR="004D2A4D" w:rsidRPr="004D2A4D">
        <w:rPr>
          <w:rFonts w:ascii="Times New Roman" w:eastAsiaTheme="minorHAnsi" w:hAnsi="Times New Roman" w:cs="Calibri"/>
          <w:b/>
          <w:sz w:val="24"/>
          <w:szCs w:val="24"/>
        </w:rPr>
        <w:t>Подрядчик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», в лице [должность, Ф.И.О.], действующего на основании [документ-основание], с другой стороны, </w:t>
      </w:r>
    </w:p>
    <w:p w:rsidR="00D35A02" w:rsidRPr="004D2A4D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4D"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 w:rsidRPr="004D2A4D">
        <w:rPr>
          <w:rFonts w:ascii="Times New Roman" w:eastAsiaTheme="minorHAnsi" w:hAnsi="Times New Roman"/>
          <w:sz w:val="24"/>
          <w:szCs w:val="24"/>
        </w:rPr>
        <w:t>к банковским гарантиям</w:t>
      </w:r>
      <w:r w:rsidRPr="004D2A4D"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4D2A4D">
        <w:rPr>
          <w:rFonts w:ascii="Times New Roman" w:hAnsi="Times New Roman"/>
          <w:sz w:val="24"/>
          <w:szCs w:val="24"/>
        </w:rPr>
        <w:t xml:space="preserve">Договора № [номер] </w:t>
      </w:r>
      <w:proofErr w:type="gramStart"/>
      <w:r w:rsidRPr="004D2A4D">
        <w:rPr>
          <w:rFonts w:ascii="Times New Roman" w:hAnsi="Times New Roman"/>
          <w:sz w:val="24"/>
          <w:szCs w:val="24"/>
        </w:rPr>
        <w:t>от</w:t>
      </w:r>
      <w:proofErr w:type="gramEnd"/>
      <w:r w:rsidRPr="004D2A4D">
        <w:rPr>
          <w:rFonts w:ascii="Times New Roman" w:hAnsi="Times New Roman"/>
          <w:sz w:val="24"/>
          <w:szCs w:val="24"/>
        </w:rPr>
        <w:t xml:space="preserve"> [дата] на </w:t>
      </w:r>
      <w:r w:rsidR="004D2A4D" w:rsidRPr="004D2A4D">
        <w:rPr>
          <w:rFonts w:ascii="Times New Roman" w:hAnsi="Times New Roman"/>
          <w:sz w:val="24"/>
          <w:szCs w:val="24"/>
        </w:rPr>
        <w:t>__________</w:t>
      </w:r>
      <w:r w:rsidRPr="004D2A4D">
        <w:rPr>
          <w:rFonts w:ascii="Times New Roman" w:hAnsi="Times New Roman"/>
          <w:bCs/>
          <w:sz w:val="24"/>
          <w:szCs w:val="24"/>
        </w:rPr>
        <w:t xml:space="preserve"> </w:t>
      </w:r>
      <w:r w:rsidRPr="004D2A4D">
        <w:rPr>
          <w:rFonts w:ascii="Times New Roman" w:eastAsiaTheme="minorHAnsi" w:hAnsi="Times New Roman"/>
          <w:sz w:val="24"/>
          <w:szCs w:val="24"/>
        </w:rPr>
        <w:t>(в дальнейшем – Договор):</w:t>
      </w:r>
    </w:p>
    <w:p w:rsidR="00D35A02" w:rsidRPr="004D2A4D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2A4D"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 w:rsidRPr="004D2A4D">
        <w:rPr>
          <w:rFonts w:ascii="Times New Roman" w:hAnsi="Times New Roman"/>
          <w:b/>
          <w:sz w:val="24"/>
          <w:szCs w:val="24"/>
        </w:rPr>
        <w:t>К БАНКОВСКИМ ГАРАНТИЯМ</w:t>
      </w:r>
      <w:r w:rsidRPr="004D2A4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Все </w:t>
      </w:r>
      <w:r w:rsidRPr="005A404A">
        <w:rPr>
          <w:rFonts w:ascii="Times New Roman" w:hAnsi="Times New Roman" w:cs="Times New Roman"/>
          <w:sz w:val="24"/>
          <w:szCs w:val="24"/>
        </w:rPr>
        <w:t>Банковские гарантии должны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безотзывными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Заказчик, Принципалом – </w:t>
      </w:r>
      <w:r w:rsidR="004D2A4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</w:t>
      </w:r>
      <w:r w:rsidR="00563738">
        <w:rPr>
          <w:rFonts w:ascii="Times New Roman" w:hAnsi="Times New Roman" w:cs="Times New Roman"/>
          <w:sz w:val="24"/>
          <w:szCs w:val="24"/>
        </w:rPr>
        <w:t>, являться банком с государственным участием</w:t>
      </w:r>
      <w:r w:rsidRPr="009538BA">
        <w:rPr>
          <w:rFonts w:ascii="Times New Roman" w:hAnsi="Times New Roman" w:cs="Times New Roman"/>
          <w:sz w:val="24"/>
          <w:szCs w:val="24"/>
        </w:rPr>
        <w:t xml:space="preserve">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В зависимости от суммы предоставляемой Банковской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10368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35E05"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3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10368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свыше 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млн. руб. и до 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10368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10368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10368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свыше 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235E05"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3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1000</w:t>
            </w:r>
          </w:p>
        </w:tc>
        <w:tc>
          <w:tcPr>
            <w:tcW w:w="2693" w:type="dxa"/>
            <w:vAlign w:val="center"/>
          </w:tcPr>
          <w:p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lastRenderedPageBreak/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Банковских гарантий должны быть заблаговременно согласованы с Заказчиком в письменной форме. Проект соответствующей Банковской гарантии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на согласование Заказчику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</w:t>
      </w:r>
      <w:r w:rsidR="00DD4870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Банковских гарантий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Нормами 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документы, удостоверяющие право лица, подписывающего Банковскую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иные документы по запросу Заказчика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Заказчику Банковскую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>, по акту приемки-передачи.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>направить Заказчику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 w:rsidR="009C50F3">
        <w:rPr>
          <w:rFonts w:ascii="Times New Roman" w:hAnsi="Times New Roman"/>
          <w:bCs/>
          <w:sz w:val="24"/>
          <w:szCs w:val="24"/>
        </w:rPr>
        <w:t>0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Заказчику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которые могут оказать влияние на исполнение обеспеченных Банковской гарантией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осуществляется при условии предоставления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Подрядчик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Заказчику на условиях настоящего Договора Банковскую Гарантию возврата аванса, обеспечивающую возврат Авансовых платежей,</w:t>
      </w:r>
      <w:r w:rsidR="000A7F93">
        <w:rPr>
          <w:rFonts w:ascii="Times New Roman" w:hAnsi="Times New Roman"/>
          <w:bCs/>
          <w:sz w:val="24"/>
          <w:szCs w:val="24"/>
        </w:rPr>
        <w:t xml:space="preserve"> предусмотренных пунктом 7.1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(Банковскую Гарантию, обеспечивающую возврат совокупности Авансовых платежей по Договору</w:t>
      </w:r>
      <w:r w:rsidR="009B30C7">
        <w:rPr>
          <w:rFonts w:ascii="Times New Roman" w:hAnsi="Times New Roman"/>
          <w:bCs/>
          <w:sz w:val="24"/>
          <w:szCs w:val="24"/>
        </w:rPr>
        <w:t>)</w:t>
      </w:r>
      <w:r w:rsidR="00E74026" w:rsidRPr="00FD7415">
        <w:rPr>
          <w:rFonts w:ascii="Times New Roman" w:hAnsi="Times New Roman"/>
          <w:bCs/>
          <w:sz w:val="24"/>
          <w:szCs w:val="24"/>
        </w:rPr>
        <w:t>)</w:t>
      </w:r>
      <w:r w:rsidR="00E74026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на согласование Заказчику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15 (Пятнадцать) Рабочих дней до даты планируемого перечисления Авансового платежа. При предоставлении проекта Банковской гарантии на согласование Заказчику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Заказчику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DD4870">
        <w:rPr>
          <w:rFonts w:ascii="Times New Roman" w:hAnsi="Times New Roman"/>
          <w:bCs/>
          <w:sz w:val="24"/>
          <w:szCs w:val="24"/>
        </w:rPr>
        <w:t>0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E74026">
        <w:rPr>
          <w:rFonts w:ascii="Times New Roman" w:hAnsi="Times New Roman"/>
          <w:bCs/>
          <w:sz w:val="24"/>
          <w:szCs w:val="24"/>
        </w:rPr>
        <w:t xml:space="preserve">одрядчиком Заказчику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10 (Десять) Рабочих дней до даты перечисления Авансового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В случае непредставления Банковской гарантии возврата аванса в срок, указанный в пункте 1.1</w:t>
      </w:r>
      <w:r w:rsidR="00DD4870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Заказчик вправе отложить выплату Авансового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Сумма Банковской гарантии возврата аванса должна быть равной сумме Авансов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763F95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обеспечивает данная Банковская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 этом сумма Банковской гарантии возврата аванса в любой момент должна быть не менее суммы непогашенн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Срок действия Банковской гарантии возврата аванса должен начинаться до планируемой даты перечисления Авансового платежа и заканчиваться не ранее 120 (Ста двадцати) дней после планируемого срока выполнения Работ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 по возврату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если на дату, наступающую за 28 (Двадцать восемь) дней до истечения срока Банковской гарантии возврата аванса, Авансовы</w:t>
      </w:r>
      <w:r w:rsidR="0028369E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>, в обеспечение котор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Банковская гарантия, не погашен</w:t>
      </w:r>
      <w:r w:rsidR="008A1C57">
        <w:rPr>
          <w:rFonts w:ascii="Times New Roman" w:hAnsi="Times New Roman"/>
          <w:bCs/>
          <w:sz w:val="24"/>
          <w:szCs w:val="24"/>
        </w:rPr>
        <w:t>ы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Банковской гарантии возврата аванса и представить Заказчику доказательство такого продления (новую Банковскую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Банковской гарантии возврата аванса. В случае неисполнения обязанности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предусмотренной настоящим пунктом,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Заказчику штраф в размере 10 % (Десяти процентов) от суммы Банковской гарантии, а также по требованию Заказчика в течение 5 (Пяти) рабочих дней вернуть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Заказчик  также вправе удержать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0A7F93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В случае если после уплаты Заказчиком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будет установлено, что:</w:t>
      </w:r>
    </w:p>
    <w:p w:rsidR="00DC645D" w:rsidRPr="000A7F93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Банковская гарантия возврата аванса, обеспечивающая возврат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Pr="000A7F93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  <w:r w:rsidRPr="000A7F93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</w:p>
    <w:p w:rsidR="00DC645D" w:rsidRPr="000A7F93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:rsidR="00DC645D" w:rsidRPr="000A7F93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0A7F93">
        <w:rPr>
          <w:rFonts w:ascii="Times New Roman" w:hAnsi="Times New Roman"/>
          <w:bCs/>
          <w:sz w:val="24"/>
          <w:szCs w:val="24"/>
        </w:rPr>
        <w:t>установленны</w:t>
      </w:r>
      <w:r w:rsidR="0013295B" w:rsidRPr="000A7F93">
        <w:rPr>
          <w:rFonts w:ascii="Times New Roman" w:hAnsi="Times New Roman"/>
          <w:bCs/>
          <w:sz w:val="24"/>
          <w:szCs w:val="24"/>
        </w:rPr>
        <w:t>х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4D2A4D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Подрядчик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Заказчика вернуть Заказчику непогашенную часть полученн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90356F" w:rsidRPr="000A7F93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>Вместо возврата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</w:t>
      </w:r>
      <w:proofErr w:type="gramStart"/>
      <w:r w:rsidRPr="0013295B">
        <w:rPr>
          <w:rFonts w:ascii="Times New Roman" w:hAnsi="Times New Roman"/>
          <w:bCs/>
          <w:sz w:val="24"/>
          <w:szCs w:val="24"/>
        </w:rPr>
        <w:t>своем</w:t>
      </w:r>
      <w:proofErr w:type="gramEnd"/>
      <w:r w:rsidRPr="0013295B">
        <w:rPr>
          <w:rFonts w:ascii="Times New Roman" w:hAnsi="Times New Roman"/>
          <w:bCs/>
          <w:sz w:val="24"/>
          <w:szCs w:val="24"/>
        </w:rPr>
        <w:t xml:space="preserve"> намерении предоставить новую Банковскую гарантию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Заказчика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>указанного в пункте 1.2</w:t>
      </w:r>
      <w:r w:rsidR="00DD4870">
        <w:rPr>
          <w:rFonts w:ascii="Times New Roman" w:hAnsi="Times New Roman"/>
          <w:bCs/>
          <w:sz w:val="24"/>
          <w:szCs w:val="24"/>
        </w:rPr>
        <w:t>1</w:t>
      </w:r>
      <w:r w:rsidR="0013295B">
        <w:rPr>
          <w:rFonts w:ascii="Times New Roman" w:hAnsi="Times New Roman"/>
          <w:bCs/>
          <w:sz w:val="24"/>
          <w:szCs w:val="24"/>
        </w:rPr>
        <w:t xml:space="preserve">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Банковская гарантия должна быть предоставлена </w:t>
      </w:r>
      <w:r w:rsidR="0013295B">
        <w:rPr>
          <w:rFonts w:ascii="Times New Roman" w:hAnsi="Times New Roman"/>
          <w:bCs/>
          <w:sz w:val="24"/>
          <w:szCs w:val="24"/>
        </w:rPr>
        <w:t xml:space="preserve">Заказчику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>указанного в пункте 1.2</w:t>
      </w:r>
      <w:r w:rsidR="00DD4870">
        <w:rPr>
          <w:rFonts w:ascii="Times New Roman" w:hAnsi="Times New Roman"/>
          <w:bCs/>
          <w:sz w:val="24"/>
          <w:szCs w:val="24"/>
        </w:rPr>
        <w:t>1</w:t>
      </w:r>
      <w:r w:rsidR="0013295B">
        <w:rPr>
          <w:rFonts w:ascii="Times New Roman" w:hAnsi="Times New Roman"/>
          <w:bCs/>
          <w:sz w:val="24"/>
          <w:szCs w:val="24"/>
        </w:rPr>
        <w:t xml:space="preserve">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D75916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75916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90356F" w:rsidRPr="00405B6B" w:rsidRDefault="0013295B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35A02" w:rsidRPr="00146BE9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</w:t>
      </w:r>
      <w:r w:rsidR="00DE37AA" w:rsidRPr="00594862">
        <w:rPr>
          <w:rFonts w:ascii="Times New Roman" w:hAnsi="Times New Roman"/>
          <w:sz w:val="24"/>
          <w:szCs w:val="24"/>
        </w:rPr>
        <w:t xml:space="preserve"> </w:t>
      </w:r>
      <w:r w:rsidR="00DE37AA">
        <w:rPr>
          <w:rFonts w:ascii="Times New Roman" w:hAnsi="Times New Roman"/>
          <w:sz w:val="24"/>
          <w:szCs w:val="24"/>
        </w:rPr>
        <w:t>Общества, указанный в ЕГРЮЛ</w:t>
      </w:r>
      <w:r w:rsidRPr="0090356F">
        <w:rPr>
          <w:rFonts w:ascii="Times New Roman" w:hAnsi="Times New Roman"/>
          <w:sz w:val="24"/>
          <w:szCs w:val="24"/>
        </w:rPr>
        <w:t>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DE37AA">
        <w:rPr>
          <w:rFonts w:ascii="Times New Roman" w:hAnsi="Times New Roman"/>
          <w:sz w:val="24"/>
          <w:szCs w:val="24"/>
        </w:rPr>
        <w:t>6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исполнения Принципалом обязательств по возврату Авансового платежа по Договору 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_____________________ от «__»__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 20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перед Бенефициаром по возврату 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___% от цены договора на сумму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умма 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>рописью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случае отказа Бенефициары или Принципала от исполнения Договора в соответствии с его условиями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ванс 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платежного поручения об уплате 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ванса по Договору на расчетный счет Принц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 xml:space="preserve">ипала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кст тр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DE37AA">
        <w:rPr>
          <w:rFonts w:ascii="Times New Roman" w:eastAsiaTheme="minorHAnsi" w:hAnsi="Times New Roman"/>
          <w:sz w:val="24"/>
          <w:szCs w:val="24"/>
        </w:rPr>
        <w:t>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C0ACF" w:rsidRPr="00594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10. Утратившая силу Гарантия возвращается Гаранту без каких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либо дополнительных требований.</w:t>
      </w:r>
    </w:p>
    <w:p w:rsidR="00DC0ACF" w:rsidRDefault="0090356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DC0ACF" w:rsidRDefault="00DC0ACF" w:rsidP="005802A2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заверенных Бенефициаром копий документов, подтверждающих полномочия подписанта (доверенности, решения об избрании/назначении лица, осуществляющего функции единоличного  исполнительного органа).</w:t>
      </w:r>
      <w:proofErr w:type="gramEnd"/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7508F6" w:rsidRDefault="007508F6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7508F6" w:rsidRPr="0090356F" w:rsidRDefault="007508F6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7508F6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Заказчика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О</w:t>
      </w:r>
      <w:proofErr w:type="gramEnd"/>
      <w:r>
        <w:rPr>
          <w:rFonts w:ascii="Times New Roman" w:hAnsi="Times New Roman"/>
          <w:sz w:val="24"/>
          <w:szCs w:val="24"/>
        </w:rPr>
        <w:t xml:space="preserve">т Подрядчика </w:t>
      </w:r>
    </w:p>
    <w:p w:rsidR="00A80A9B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директор                                  </w:t>
      </w:r>
    </w:p>
    <w:p w:rsidR="007508F6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«ОДПС Сколково»                                </w:t>
      </w:r>
    </w:p>
    <w:p w:rsidR="00A80A9B" w:rsidRDefault="00A80A9B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80A9B" w:rsidRDefault="00A80A9B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508F6" w:rsidRPr="0090356F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__________________/А.С. Савченко/            _______________________/</w:t>
      </w:r>
      <w:r w:rsidR="00A80A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/</w:t>
      </w:r>
    </w:p>
    <w:p w:rsidR="00D35A02" w:rsidRPr="0090356F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0356F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A7F93"/>
    <w:rsid w:val="0010368B"/>
    <w:rsid w:val="00117F5C"/>
    <w:rsid w:val="0013295B"/>
    <w:rsid w:val="00146BE9"/>
    <w:rsid w:val="00235E05"/>
    <w:rsid w:val="0028369E"/>
    <w:rsid w:val="002D0E38"/>
    <w:rsid w:val="00304EBF"/>
    <w:rsid w:val="00357E3E"/>
    <w:rsid w:val="003A04A9"/>
    <w:rsid w:val="003D71F3"/>
    <w:rsid w:val="004035F6"/>
    <w:rsid w:val="00405B6B"/>
    <w:rsid w:val="004140A1"/>
    <w:rsid w:val="00416863"/>
    <w:rsid w:val="004D2A4D"/>
    <w:rsid w:val="00517FB6"/>
    <w:rsid w:val="00563738"/>
    <w:rsid w:val="005802A2"/>
    <w:rsid w:val="00594862"/>
    <w:rsid w:val="005F090E"/>
    <w:rsid w:val="00701EF5"/>
    <w:rsid w:val="00721C2E"/>
    <w:rsid w:val="007508F6"/>
    <w:rsid w:val="00763F95"/>
    <w:rsid w:val="00832E82"/>
    <w:rsid w:val="00854EFE"/>
    <w:rsid w:val="008A1C57"/>
    <w:rsid w:val="0090356F"/>
    <w:rsid w:val="009B30C7"/>
    <w:rsid w:val="009C50F3"/>
    <w:rsid w:val="00A66760"/>
    <w:rsid w:val="00A80A9B"/>
    <w:rsid w:val="00D35A02"/>
    <w:rsid w:val="00D75916"/>
    <w:rsid w:val="00DC0ACF"/>
    <w:rsid w:val="00DC645D"/>
    <w:rsid w:val="00DD4870"/>
    <w:rsid w:val="00DE37AA"/>
    <w:rsid w:val="00E44307"/>
    <w:rsid w:val="00E74026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DD487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487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D487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87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D487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DD487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487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D487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87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D487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3134</Words>
  <Characters>17868</Characters>
  <Application>Microsoft Office Word</Application>
  <DocSecurity>4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Darmonuk Natalia</cp:lastModifiedBy>
  <cp:revision>2</cp:revision>
  <dcterms:created xsi:type="dcterms:W3CDTF">2018-09-20T15:17:00Z</dcterms:created>
  <dcterms:modified xsi:type="dcterms:W3CDTF">2018-09-20T15:17:00Z</dcterms:modified>
</cp:coreProperties>
</file>